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7AF3B" w14:textId="77777777" w:rsidR="00466DB4" w:rsidRPr="004A5E7A" w:rsidRDefault="000E6422" w:rsidP="000E6422">
      <w:pPr>
        <w:spacing w:line="360" w:lineRule="auto"/>
        <w:jc w:val="both"/>
        <w:rPr>
          <w:rFonts w:ascii="Times New Roman" w:hAnsi="Times New Roman" w:cs="Times New Roman"/>
          <w:b/>
          <w:bCs/>
          <w:sz w:val="24"/>
          <w:szCs w:val="24"/>
          <w:lang w:val="en-GB"/>
        </w:rPr>
      </w:pPr>
      <w:r w:rsidRPr="004A5E7A">
        <w:rPr>
          <w:rFonts w:ascii="Times New Roman" w:hAnsi="Times New Roman" w:cs="Times New Roman"/>
          <w:b/>
          <w:bCs/>
          <w:sz w:val="24"/>
          <w:szCs w:val="24"/>
          <w:lang w:val="en-GB"/>
        </w:rPr>
        <w:t>SUPPLEMENTARY METHODS</w:t>
      </w:r>
    </w:p>
    <w:p w14:paraId="00BD2ED1" w14:textId="77777777" w:rsidR="000E6422" w:rsidRPr="004A5E7A" w:rsidRDefault="000E6422" w:rsidP="000E6422">
      <w:pPr>
        <w:spacing w:line="360" w:lineRule="auto"/>
        <w:jc w:val="both"/>
        <w:rPr>
          <w:rFonts w:ascii="Times New Roman" w:hAnsi="Times New Roman" w:cs="Times New Roman"/>
          <w:b/>
          <w:bCs/>
          <w:sz w:val="24"/>
          <w:szCs w:val="24"/>
          <w:lang w:val="en-GB"/>
        </w:rPr>
      </w:pPr>
      <w:r w:rsidRPr="004A5E7A">
        <w:rPr>
          <w:rFonts w:ascii="Times New Roman" w:hAnsi="Times New Roman" w:cs="Times New Roman"/>
          <w:b/>
          <w:bCs/>
          <w:sz w:val="24"/>
          <w:szCs w:val="24"/>
          <w:lang w:val="en-GB"/>
        </w:rPr>
        <w:t>Neurological Evaluations</w:t>
      </w:r>
    </w:p>
    <w:p w14:paraId="5941CE88" w14:textId="0862B8C7" w:rsidR="000E6422" w:rsidRPr="004A5E7A" w:rsidRDefault="000E6422" w:rsidP="000E6422">
      <w:pPr>
        <w:spacing w:line="360" w:lineRule="auto"/>
        <w:jc w:val="both"/>
        <w:rPr>
          <w:rFonts w:ascii="Times New Roman" w:hAnsi="Times New Roman" w:cs="Times New Roman"/>
          <w:sz w:val="24"/>
          <w:szCs w:val="24"/>
          <w:lang w:val="en-GB"/>
        </w:rPr>
      </w:pPr>
      <w:r w:rsidRPr="211E73E9">
        <w:rPr>
          <w:rFonts w:ascii="Times New Roman" w:hAnsi="Times New Roman" w:cs="Times New Roman"/>
          <w:sz w:val="24"/>
          <w:szCs w:val="24"/>
          <w:lang w:val="en-GB"/>
        </w:rPr>
        <w:t xml:space="preserve">Neurological functional testing was performed on days 1, 7, 14 and 21 post-CJF creation using the Garcia </w:t>
      </w:r>
      <w:proofErr w:type="spellStart"/>
      <w:r w:rsidRPr="211E73E9">
        <w:rPr>
          <w:rFonts w:ascii="Times New Roman" w:hAnsi="Times New Roman" w:cs="Times New Roman"/>
          <w:sz w:val="24"/>
          <w:szCs w:val="24"/>
          <w:lang w:val="en-GB"/>
        </w:rPr>
        <w:t>Neuroscore</w:t>
      </w:r>
      <w:proofErr w:type="spellEnd"/>
      <w:r w:rsidRPr="211E73E9">
        <w:rPr>
          <w:rFonts w:ascii="Times New Roman" w:hAnsi="Times New Roman" w:cs="Times New Roman"/>
          <w:sz w:val="24"/>
          <w:szCs w:val="24"/>
          <w:lang w:val="en-GB"/>
        </w:rPr>
        <w:t xml:space="preserve">. Animals were evaluated by a trained examiner in a blind fashion. The Garcia </w:t>
      </w:r>
      <w:proofErr w:type="spellStart"/>
      <w:r w:rsidRPr="211E73E9">
        <w:rPr>
          <w:rFonts w:ascii="Times New Roman" w:hAnsi="Times New Roman" w:cs="Times New Roman"/>
          <w:sz w:val="24"/>
          <w:szCs w:val="24"/>
          <w:lang w:val="en-GB"/>
        </w:rPr>
        <w:t>Neuroscore</w:t>
      </w:r>
      <w:proofErr w:type="spellEnd"/>
      <w:r w:rsidRPr="211E73E9">
        <w:rPr>
          <w:rFonts w:ascii="Times New Roman" w:hAnsi="Times New Roman" w:cs="Times New Roman"/>
          <w:sz w:val="24"/>
          <w:szCs w:val="24"/>
          <w:lang w:val="en-GB"/>
        </w:rPr>
        <w:t xml:space="preserve"> consists of 6 subtests: spontaneous activity, body proprioception, vibrissae touch, limb symmetry, forelimb outstretching and climbing. </w:t>
      </w:r>
    </w:p>
    <w:p w14:paraId="589D23FE" w14:textId="69179BC7" w:rsidR="000E6422" w:rsidRPr="004A5E7A" w:rsidRDefault="000E6422" w:rsidP="000E6422">
      <w:pPr>
        <w:spacing w:line="360" w:lineRule="auto"/>
        <w:jc w:val="both"/>
        <w:rPr>
          <w:rFonts w:ascii="Times New Roman" w:hAnsi="Times New Roman" w:cs="Times New Roman"/>
          <w:sz w:val="24"/>
          <w:szCs w:val="24"/>
          <w:lang w:val="en-GB"/>
        </w:rPr>
      </w:pPr>
      <w:r w:rsidRPr="004A5E7A">
        <w:rPr>
          <w:rFonts w:ascii="Times New Roman" w:hAnsi="Times New Roman" w:cs="Times New Roman"/>
          <w:sz w:val="24"/>
          <w:szCs w:val="24"/>
          <w:lang w:val="en-GB"/>
        </w:rPr>
        <w:t xml:space="preserve">For spontaneous activity, the animal instinctive activity in a novel environment (cage) was observed for 5 minutes. For body proprioception, the animal’s trunk was stimulated using a cotton swap and the motor reaction was noted. For vibrissae touch, a cotton swab was used to gently touch vibrissae back to </w:t>
      </w:r>
      <w:r w:rsidR="00ED5E81" w:rsidRPr="004A5E7A">
        <w:rPr>
          <w:rFonts w:ascii="Times New Roman" w:hAnsi="Times New Roman" w:cs="Times New Roman"/>
          <w:sz w:val="24"/>
          <w:szCs w:val="24"/>
          <w:lang w:val="en-GB"/>
        </w:rPr>
        <w:t>front;</w:t>
      </w:r>
      <w:r w:rsidRPr="004A5E7A">
        <w:rPr>
          <w:rFonts w:ascii="Times New Roman" w:hAnsi="Times New Roman" w:cs="Times New Roman"/>
          <w:sz w:val="24"/>
          <w:szCs w:val="24"/>
          <w:lang w:val="en-GB"/>
        </w:rPr>
        <w:t xml:space="preserve"> </w:t>
      </w:r>
      <w:r w:rsidR="00525DC6" w:rsidRPr="004A5E7A">
        <w:rPr>
          <w:rFonts w:ascii="Times New Roman" w:hAnsi="Times New Roman" w:cs="Times New Roman"/>
          <w:sz w:val="24"/>
          <w:szCs w:val="24"/>
          <w:lang w:val="en-GB"/>
        </w:rPr>
        <w:t>again,</w:t>
      </w:r>
      <w:r w:rsidRPr="004A5E7A">
        <w:rPr>
          <w:rFonts w:ascii="Times New Roman" w:hAnsi="Times New Roman" w:cs="Times New Roman"/>
          <w:sz w:val="24"/>
          <w:szCs w:val="24"/>
          <w:lang w:val="en-GB"/>
        </w:rPr>
        <w:t xml:space="preserve"> the motor response was noted. For limb symmetry, the animal was suspended by the tail to assess the bilateral movement of the forelimbs. For forelimb outstretching, the animal was advanced forward through a flat surface up to the edge of the table, and the reflex response of the forelimbs was noted. For climbing, the animal was placed on a gripping surface (20×42 cm) aligned in a 45° angle and elevated 36 cm from the surface of a table, and its voluntary climbing movements were observed. The total score for the Garcia </w:t>
      </w:r>
      <w:proofErr w:type="spellStart"/>
      <w:r w:rsidRPr="004A5E7A">
        <w:rPr>
          <w:rFonts w:ascii="Times New Roman" w:hAnsi="Times New Roman" w:cs="Times New Roman"/>
          <w:sz w:val="24"/>
          <w:szCs w:val="24"/>
          <w:lang w:val="en-GB"/>
        </w:rPr>
        <w:t>Neuroscore</w:t>
      </w:r>
      <w:proofErr w:type="spellEnd"/>
      <w:r w:rsidRPr="004A5E7A">
        <w:rPr>
          <w:rFonts w:ascii="Times New Roman" w:hAnsi="Times New Roman" w:cs="Times New Roman"/>
          <w:sz w:val="24"/>
          <w:szCs w:val="24"/>
          <w:lang w:val="en-GB"/>
        </w:rPr>
        <w:t xml:space="preserve"> ranges from 0 (maximum neurological impairment) to 18 (no neurological deficits).  </w:t>
      </w:r>
    </w:p>
    <w:p w14:paraId="672A6659" w14:textId="77777777" w:rsidR="00397965" w:rsidRPr="004A5E7A" w:rsidRDefault="00397965" w:rsidP="000E6422">
      <w:pPr>
        <w:spacing w:line="360" w:lineRule="auto"/>
        <w:jc w:val="both"/>
        <w:rPr>
          <w:rFonts w:ascii="Times New Roman" w:hAnsi="Times New Roman" w:cs="Times New Roman"/>
          <w:sz w:val="24"/>
          <w:szCs w:val="24"/>
          <w:lang w:val="en-GB"/>
        </w:rPr>
      </w:pPr>
    </w:p>
    <w:p w14:paraId="5FCC3F9D" w14:textId="77777777" w:rsidR="00397965" w:rsidRPr="004A5E7A" w:rsidRDefault="00397965" w:rsidP="000E6422">
      <w:pPr>
        <w:spacing w:line="360" w:lineRule="auto"/>
        <w:jc w:val="both"/>
        <w:rPr>
          <w:rFonts w:ascii="Times New Roman" w:hAnsi="Times New Roman" w:cs="Times New Roman"/>
          <w:b/>
          <w:bCs/>
          <w:sz w:val="24"/>
          <w:szCs w:val="24"/>
          <w:lang w:val="en-GB"/>
        </w:rPr>
      </w:pPr>
      <w:r w:rsidRPr="004A5E7A">
        <w:rPr>
          <w:rFonts w:ascii="Times New Roman" w:hAnsi="Times New Roman" w:cs="Times New Roman"/>
          <w:b/>
          <w:bCs/>
          <w:sz w:val="24"/>
          <w:szCs w:val="24"/>
          <w:lang w:val="en-GB"/>
        </w:rPr>
        <w:t>TOF sequence processing</w:t>
      </w:r>
    </w:p>
    <w:p w14:paraId="6AA820CA" w14:textId="77777777" w:rsidR="00397965" w:rsidRPr="004A5E7A" w:rsidRDefault="00397965" w:rsidP="00397965">
      <w:pPr>
        <w:spacing w:line="360" w:lineRule="auto"/>
        <w:jc w:val="both"/>
        <w:rPr>
          <w:rFonts w:ascii="Times New Roman" w:hAnsi="Times New Roman" w:cs="Times New Roman"/>
          <w:sz w:val="24"/>
          <w:szCs w:val="24"/>
          <w:lang w:val="en-GB"/>
        </w:rPr>
      </w:pPr>
      <w:r w:rsidRPr="004A5E7A">
        <w:rPr>
          <w:rFonts w:ascii="Times New Roman" w:hAnsi="Times New Roman" w:cs="Times New Roman"/>
          <w:sz w:val="24"/>
          <w:szCs w:val="24"/>
          <w:lang w:val="en-GB"/>
        </w:rPr>
        <w:t xml:space="preserve">DICOM images obtained from TOF-MRI sequences were exported for reconstruction and used to create 3D maps of the vessel flow to facilitate the interpretation of the vascular patterns. The initial DICOM files were imported into ImageJ, where they were organized into image stacks corresponding to the three-dimensional volume of interest. where they were organized into image stacks corresponding to the three-dimensional volume of interest. Subsequently, we applied a Z projection to the image stack to generate a two-dimensional representation of the volumetric data. Specifically, we utilized the "max intensity" projection type, which highlights the most intense values along the Z-axis, thereby enhancing relevant anatomical features and improving </w:t>
      </w:r>
      <w:r w:rsidRPr="004A5E7A">
        <w:rPr>
          <w:rFonts w:ascii="Times New Roman" w:hAnsi="Times New Roman" w:cs="Times New Roman"/>
          <w:sz w:val="24"/>
          <w:szCs w:val="24"/>
          <w:lang w:val="en-GB"/>
        </w:rPr>
        <w:lastRenderedPageBreak/>
        <w:t>visualization for subsequent assessment. This method allows for a clearer interpretation of the structures captured in the TOF MRI images.</w:t>
      </w:r>
    </w:p>
    <w:p w14:paraId="0A37501D" w14:textId="77777777" w:rsidR="00397965" w:rsidRPr="004A5E7A" w:rsidRDefault="00397965" w:rsidP="000E6422">
      <w:pPr>
        <w:spacing w:line="360" w:lineRule="auto"/>
        <w:jc w:val="both"/>
        <w:rPr>
          <w:rFonts w:ascii="Times New Roman" w:hAnsi="Times New Roman" w:cs="Times New Roman"/>
          <w:sz w:val="24"/>
          <w:szCs w:val="24"/>
          <w:lang w:val="en-GB"/>
        </w:rPr>
      </w:pPr>
    </w:p>
    <w:p w14:paraId="11A5E19F" w14:textId="77777777" w:rsidR="00BC2149" w:rsidRPr="004A5E7A" w:rsidRDefault="00BC2149" w:rsidP="00BC2149">
      <w:pPr>
        <w:pStyle w:val="Heading2"/>
        <w:spacing w:after="120" w:line="360" w:lineRule="auto"/>
        <w:jc w:val="both"/>
        <w:rPr>
          <w:rFonts w:ascii="Times New Roman" w:hAnsi="Times New Roman" w:cs="Times New Roman"/>
          <w:b/>
          <w:color w:val="auto"/>
          <w:sz w:val="24"/>
          <w:szCs w:val="24"/>
          <w:lang w:val="en-GB"/>
        </w:rPr>
      </w:pPr>
      <w:r w:rsidRPr="004A5E7A">
        <w:rPr>
          <w:rFonts w:ascii="Times New Roman" w:hAnsi="Times New Roman" w:cs="Times New Roman"/>
          <w:b/>
          <w:color w:val="auto"/>
          <w:sz w:val="24"/>
          <w:szCs w:val="24"/>
          <w:lang w:val="en-GB"/>
        </w:rPr>
        <w:t>Histological evaluation: IgG Immunofluorescence</w:t>
      </w:r>
    </w:p>
    <w:p w14:paraId="4792F6C1" w14:textId="77777777" w:rsidR="00BC2149" w:rsidRPr="004A5E7A" w:rsidRDefault="00BC2149" w:rsidP="00BC2149">
      <w:pPr>
        <w:spacing w:line="360" w:lineRule="auto"/>
        <w:jc w:val="both"/>
        <w:rPr>
          <w:rFonts w:ascii="Times New Roman" w:hAnsi="Times New Roman" w:cs="Times New Roman"/>
          <w:color w:val="FF0000"/>
          <w:sz w:val="24"/>
          <w:szCs w:val="24"/>
          <w:lang w:val="en-GB"/>
        </w:rPr>
      </w:pPr>
      <w:r w:rsidRPr="004A5E7A">
        <w:rPr>
          <w:rFonts w:ascii="Times New Roman" w:hAnsi="Times New Roman" w:cs="Times New Roman"/>
          <w:sz w:val="24"/>
          <w:szCs w:val="24"/>
          <w:lang w:val="en-GB"/>
        </w:rPr>
        <w:t xml:space="preserve">For histological analysis, animals were anesthetised with 4% isoflurane and </w:t>
      </w:r>
      <w:proofErr w:type="spellStart"/>
      <w:r w:rsidRPr="004A5E7A">
        <w:rPr>
          <w:rFonts w:ascii="Times New Roman" w:hAnsi="Times New Roman" w:cs="Times New Roman"/>
          <w:sz w:val="24"/>
          <w:szCs w:val="24"/>
          <w:lang w:val="en-GB"/>
        </w:rPr>
        <w:t>transcardially</w:t>
      </w:r>
      <w:proofErr w:type="spellEnd"/>
      <w:r w:rsidRPr="004A5E7A">
        <w:rPr>
          <w:rFonts w:ascii="Times New Roman" w:hAnsi="Times New Roman" w:cs="Times New Roman"/>
          <w:sz w:val="24"/>
          <w:szCs w:val="24"/>
          <w:lang w:val="en-GB"/>
        </w:rPr>
        <w:t xml:space="preserve"> perfused with 100 ml of phosphate buffer saline (PBS) 0.1 mol/L, pH 7.4, containing 100IU unfractionated heparin, followed by 50 ml of chilled paraformaldehyde (4%) in PBS. The brains were carefully removed from the skull and post-fixed O/N at 4°C, then transferred to 30% sucrose in 0.1 mol/L phosphate buffer for 48h until equilibration. Coronal brain 50 </w:t>
      </w:r>
      <w:proofErr w:type="spellStart"/>
      <w:r w:rsidRPr="004A5E7A">
        <w:rPr>
          <w:rFonts w:ascii="Times New Roman" w:hAnsi="Times New Roman" w:cs="Times New Roman"/>
          <w:sz w:val="24"/>
          <w:szCs w:val="24"/>
          <w:lang w:val="en-GB"/>
        </w:rPr>
        <w:t>μm</w:t>
      </w:r>
      <w:proofErr w:type="spellEnd"/>
      <w:r w:rsidRPr="004A5E7A">
        <w:rPr>
          <w:rFonts w:ascii="Times New Roman" w:hAnsi="Times New Roman" w:cs="Times New Roman"/>
          <w:sz w:val="24"/>
          <w:szCs w:val="24"/>
          <w:lang w:val="en-GB"/>
        </w:rPr>
        <w:t xml:space="preserve">-thick fresh sections were cut serially with automated vibrating blade microtome (LEICA VT1200S vibratome). </w:t>
      </w:r>
    </w:p>
    <w:p w14:paraId="772C0245" w14:textId="77777777" w:rsidR="00BC2149" w:rsidRPr="004A5E7A" w:rsidRDefault="00BC2149" w:rsidP="00BC2149">
      <w:pPr>
        <w:spacing w:line="360" w:lineRule="auto"/>
        <w:jc w:val="both"/>
        <w:rPr>
          <w:rFonts w:ascii="Times New Roman" w:hAnsi="Times New Roman" w:cs="Times New Roman"/>
          <w:sz w:val="24"/>
          <w:szCs w:val="24"/>
          <w:lang w:val="en-GB"/>
        </w:rPr>
      </w:pPr>
      <w:r w:rsidRPr="004A5E7A">
        <w:rPr>
          <w:rFonts w:ascii="Times New Roman" w:hAnsi="Times New Roman" w:cs="Times New Roman"/>
          <w:sz w:val="24"/>
          <w:szCs w:val="24"/>
          <w:lang w:val="en-GB"/>
        </w:rPr>
        <w:t xml:space="preserve">Tissue sections were incubated in wells containing a blocking solution of 3% donkey serum in PBS and a dilution of 1:500 anti-IgG antibody (711-065-152, Lot. Nr. 131559, Jackson </w:t>
      </w:r>
      <w:proofErr w:type="spellStart"/>
      <w:r w:rsidRPr="004A5E7A">
        <w:rPr>
          <w:rFonts w:ascii="Times New Roman" w:hAnsi="Times New Roman" w:cs="Times New Roman"/>
          <w:sz w:val="24"/>
          <w:szCs w:val="24"/>
          <w:lang w:val="en-GB"/>
        </w:rPr>
        <w:t>ImmunoResearch</w:t>
      </w:r>
      <w:proofErr w:type="spellEnd"/>
      <w:r w:rsidRPr="004A5E7A">
        <w:rPr>
          <w:rFonts w:ascii="Times New Roman" w:hAnsi="Times New Roman" w:cs="Times New Roman"/>
          <w:sz w:val="24"/>
          <w:szCs w:val="24"/>
          <w:lang w:val="en-GB"/>
        </w:rPr>
        <w:t xml:space="preserve">, Ely, United Kingdom, dilution 1:500) for 1.5 hours at room temperature (RT). After antibody incubation, the sections were washed thoroughly with PBS and subsequently stained with DAPI for 15 minutes to visualize nuclei. Once the staining procedure was complete, the sections were mounted using an </w:t>
      </w:r>
      <w:proofErr w:type="spellStart"/>
      <w:r w:rsidRPr="004A5E7A">
        <w:rPr>
          <w:rFonts w:ascii="Times New Roman" w:hAnsi="Times New Roman" w:cs="Times New Roman"/>
          <w:sz w:val="24"/>
          <w:szCs w:val="24"/>
          <w:lang w:val="en-GB"/>
        </w:rPr>
        <w:t>Fluoromount</w:t>
      </w:r>
      <w:proofErr w:type="spellEnd"/>
      <w:r w:rsidRPr="004A5E7A">
        <w:rPr>
          <w:rFonts w:ascii="Times New Roman" w:hAnsi="Times New Roman" w:cs="Times New Roman"/>
          <w:sz w:val="24"/>
          <w:szCs w:val="24"/>
          <w:lang w:val="en-GB"/>
        </w:rPr>
        <w:t>™ Aqueous Mounting Medium (Sigma, F4680) and allowed to dry for 2 hours. The prepared slides were then stored at 4°C until image acquisition via microscopy.</w:t>
      </w:r>
    </w:p>
    <w:p w14:paraId="02DFFCD6" w14:textId="77777777" w:rsidR="00BC2149" w:rsidRPr="004A5E7A" w:rsidRDefault="00BC2149" w:rsidP="00BC2149">
      <w:pPr>
        <w:spacing w:line="360" w:lineRule="auto"/>
        <w:jc w:val="both"/>
        <w:rPr>
          <w:rFonts w:ascii="Times New Roman" w:hAnsi="Times New Roman" w:cs="Times New Roman"/>
          <w:sz w:val="24"/>
          <w:szCs w:val="24"/>
          <w:lang w:val="en-GB"/>
        </w:rPr>
      </w:pPr>
      <w:r w:rsidRPr="30220C04">
        <w:rPr>
          <w:rFonts w:ascii="Times New Roman" w:hAnsi="Times New Roman" w:cs="Times New Roman"/>
          <w:sz w:val="24"/>
          <w:szCs w:val="24"/>
          <w:lang w:val="en-GB"/>
        </w:rPr>
        <w:t xml:space="preserve">Confocal microscopy assessment was done using a sequential scanning mode to avoid bleed-through effects with a Leica TCS SP8 confocal microscope. Light excitation at 488 nm for IgG signals was used. Large view images were acquired by a 10x </w:t>
      </w:r>
      <w:r w:rsidR="6055D448" w:rsidRPr="30220C04">
        <w:rPr>
          <w:rFonts w:ascii="Times New Roman" w:hAnsi="Times New Roman" w:cs="Times New Roman"/>
          <w:sz w:val="24"/>
          <w:szCs w:val="24"/>
          <w:lang w:val="en-GB"/>
        </w:rPr>
        <w:t>objective and</w:t>
      </w:r>
      <w:r w:rsidRPr="30220C04">
        <w:rPr>
          <w:rFonts w:ascii="Times New Roman" w:hAnsi="Times New Roman" w:cs="Times New Roman"/>
          <w:sz w:val="24"/>
          <w:szCs w:val="24"/>
          <w:lang w:val="en-GB"/>
        </w:rPr>
        <w:t xml:space="preserve"> automatically stitched with 10% overlap. Large view images served as a reference to identify the cortical regions of interest for subsequent analysis. </w:t>
      </w:r>
    </w:p>
    <w:p w14:paraId="7E7E53B6" w14:textId="77777777" w:rsidR="00BC2149" w:rsidRPr="004A5E7A" w:rsidRDefault="00BC2149" w:rsidP="00BC2149">
      <w:pPr>
        <w:spacing w:line="360" w:lineRule="auto"/>
        <w:jc w:val="both"/>
        <w:rPr>
          <w:rFonts w:ascii="Times New Roman" w:hAnsi="Times New Roman" w:cs="Times New Roman"/>
          <w:sz w:val="24"/>
          <w:szCs w:val="24"/>
          <w:lang w:val="en-GB"/>
        </w:rPr>
      </w:pPr>
      <w:r w:rsidRPr="004A5E7A">
        <w:rPr>
          <w:rFonts w:ascii="Times New Roman" w:hAnsi="Times New Roman" w:cs="Times New Roman"/>
          <w:sz w:val="24"/>
          <w:szCs w:val="24"/>
          <w:lang w:val="en-GB"/>
        </w:rPr>
        <w:t xml:space="preserve">Digital image analysis was done using ImageJ. Briefly, each image was made bidimensional by max intensity projection and channels separated (blue for DAPI and green for </w:t>
      </w:r>
      <w:proofErr w:type="spellStart"/>
      <w:r w:rsidRPr="004A5E7A">
        <w:rPr>
          <w:rFonts w:ascii="Times New Roman" w:hAnsi="Times New Roman" w:cs="Times New Roman"/>
          <w:sz w:val="24"/>
          <w:szCs w:val="24"/>
          <w:lang w:val="en-GB"/>
        </w:rPr>
        <w:t>IgGs</w:t>
      </w:r>
      <w:proofErr w:type="spellEnd"/>
      <w:r w:rsidRPr="004A5E7A">
        <w:rPr>
          <w:rFonts w:ascii="Times New Roman" w:hAnsi="Times New Roman" w:cs="Times New Roman"/>
          <w:sz w:val="24"/>
          <w:szCs w:val="24"/>
          <w:lang w:val="en-GB"/>
        </w:rPr>
        <w:t xml:space="preserve">). Following the creation of the 2D images, a threshold value to distinguish the positive IgG signal from the background was applied. This threshold was determined based on the negative-control sample, which did not undergo incubation with the IgG antibodies, ensuring that the selection criteria effectively minimized false positives. </w:t>
      </w:r>
    </w:p>
    <w:p w14:paraId="3790F132" w14:textId="77777777" w:rsidR="00BC2149" w:rsidRPr="004A5E7A" w:rsidRDefault="00BC2149" w:rsidP="00BC2149">
      <w:pPr>
        <w:spacing w:line="360" w:lineRule="auto"/>
        <w:jc w:val="both"/>
        <w:rPr>
          <w:rFonts w:ascii="Times New Roman" w:hAnsi="Times New Roman" w:cs="Times New Roman"/>
          <w:sz w:val="24"/>
          <w:szCs w:val="24"/>
          <w:lang w:val="en-GB"/>
        </w:rPr>
      </w:pPr>
      <w:r w:rsidRPr="272D02E9">
        <w:rPr>
          <w:rFonts w:ascii="Times New Roman" w:hAnsi="Times New Roman" w:cs="Times New Roman"/>
          <w:sz w:val="24"/>
          <w:szCs w:val="24"/>
          <w:lang w:val="en-GB"/>
        </w:rPr>
        <w:lastRenderedPageBreak/>
        <w:t xml:space="preserve">For the area of analysis, we manually defined the region of interest (ROI) by selecting the entire brain section and both hemispheres. Within this predetermined area, we calculated the positivity of </w:t>
      </w:r>
      <w:proofErr w:type="spellStart"/>
      <w:r w:rsidRPr="272D02E9">
        <w:rPr>
          <w:rFonts w:ascii="Times New Roman" w:hAnsi="Times New Roman" w:cs="Times New Roman"/>
          <w:sz w:val="24"/>
          <w:szCs w:val="24"/>
          <w:lang w:val="en-GB"/>
        </w:rPr>
        <w:t>IgGs</w:t>
      </w:r>
      <w:proofErr w:type="spellEnd"/>
      <w:r w:rsidRPr="272D02E9">
        <w:rPr>
          <w:rFonts w:ascii="Times New Roman" w:hAnsi="Times New Roman" w:cs="Times New Roman"/>
          <w:sz w:val="24"/>
          <w:szCs w:val="24"/>
          <w:lang w:val="en-GB"/>
        </w:rPr>
        <w:t xml:space="preserve"> by quantifying the green channel signal, thereby assessing the immunoreactivity of the tissue sections. </w:t>
      </w:r>
    </w:p>
    <w:p w14:paraId="5DAB6C7B" w14:textId="77777777" w:rsidR="272D02E9" w:rsidRDefault="272D02E9" w:rsidP="272D02E9">
      <w:pPr>
        <w:spacing w:line="360" w:lineRule="auto"/>
        <w:jc w:val="both"/>
        <w:rPr>
          <w:rFonts w:ascii="Times New Roman" w:hAnsi="Times New Roman" w:cs="Times New Roman"/>
          <w:sz w:val="24"/>
          <w:szCs w:val="24"/>
          <w:lang w:val="en-GB"/>
        </w:rPr>
      </w:pPr>
    </w:p>
    <w:p w14:paraId="6AD52C1B" w14:textId="77777777" w:rsidR="003667EC" w:rsidRPr="00ED5E81" w:rsidRDefault="003667EC" w:rsidP="003667EC">
      <w:pPr>
        <w:pStyle w:val="Heading2"/>
        <w:spacing w:line="360" w:lineRule="auto"/>
        <w:jc w:val="both"/>
        <w:rPr>
          <w:rFonts w:ascii="Times New Roman" w:hAnsi="Times New Roman" w:cs="Times New Roman"/>
          <w:b/>
          <w:bCs/>
          <w:color w:val="auto"/>
          <w:sz w:val="24"/>
          <w:szCs w:val="24"/>
          <w:lang w:val="en-GB"/>
        </w:rPr>
      </w:pPr>
      <w:r w:rsidRPr="00ED5E81">
        <w:rPr>
          <w:rFonts w:ascii="Times New Roman" w:hAnsi="Times New Roman" w:cs="Times New Roman"/>
          <w:b/>
          <w:bCs/>
          <w:color w:val="auto"/>
          <w:sz w:val="24"/>
          <w:szCs w:val="24"/>
          <w:lang w:val="en-GB"/>
        </w:rPr>
        <w:t>MRI evaluation of the CJF model</w:t>
      </w:r>
    </w:p>
    <w:p w14:paraId="3E515DD8" w14:textId="77777777" w:rsidR="003667EC" w:rsidRPr="00ED5E81" w:rsidRDefault="003667EC" w:rsidP="003667EC">
      <w:pPr>
        <w:spacing w:line="360" w:lineRule="auto"/>
        <w:jc w:val="both"/>
        <w:rPr>
          <w:rFonts w:ascii="Times New Roman" w:hAnsi="Times New Roman" w:cs="Times New Roman"/>
          <w:sz w:val="24"/>
          <w:szCs w:val="24"/>
          <w:lang w:val="en-GB"/>
        </w:rPr>
      </w:pPr>
      <w:r w:rsidRPr="00ED5E81">
        <w:rPr>
          <w:rFonts w:ascii="Times New Roman" w:hAnsi="Times New Roman" w:cs="Times New Roman"/>
          <w:sz w:val="24"/>
          <w:szCs w:val="24"/>
          <w:lang w:val="en-GB"/>
        </w:rPr>
        <w:t xml:space="preserve">MRI was used at specific time points (days +1, +7, +21) to evaluate the fistula patency and the ability of the model to reproduce the chronic hypoperfusion seen in the </w:t>
      </w:r>
      <w:proofErr w:type="spellStart"/>
      <w:r w:rsidRPr="00ED5E81">
        <w:rPr>
          <w:rFonts w:ascii="Times New Roman" w:hAnsi="Times New Roman" w:cs="Times New Roman"/>
          <w:sz w:val="24"/>
          <w:szCs w:val="24"/>
          <w:lang w:val="en-GB"/>
        </w:rPr>
        <w:t>perimalformative</w:t>
      </w:r>
      <w:proofErr w:type="spellEnd"/>
      <w:r w:rsidRPr="00ED5E81">
        <w:rPr>
          <w:rFonts w:ascii="Times New Roman" w:hAnsi="Times New Roman" w:cs="Times New Roman"/>
          <w:sz w:val="24"/>
          <w:szCs w:val="24"/>
          <w:lang w:val="en-GB"/>
        </w:rPr>
        <w:t xml:space="preserve"> area of human </w:t>
      </w:r>
      <w:proofErr w:type="spellStart"/>
      <w:r w:rsidRPr="00ED5E81">
        <w:rPr>
          <w:rFonts w:ascii="Times New Roman" w:hAnsi="Times New Roman" w:cs="Times New Roman"/>
          <w:sz w:val="24"/>
          <w:szCs w:val="24"/>
          <w:lang w:val="en-GB"/>
        </w:rPr>
        <w:t>bAVMs</w:t>
      </w:r>
      <w:proofErr w:type="spellEnd"/>
      <w:r w:rsidRPr="00ED5E81">
        <w:rPr>
          <w:rFonts w:ascii="Times New Roman" w:hAnsi="Times New Roman" w:cs="Times New Roman"/>
          <w:sz w:val="24"/>
          <w:szCs w:val="24"/>
          <w:lang w:val="en-GB"/>
        </w:rPr>
        <w:t xml:space="preserve">, and to mimic the reperfusion phenomenon observed in this area after </w:t>
      </w:r>
      <w:proofErr w:type="spellStart"/>
      <w:r w:rsidRPr="00ED5E81">
        <w:rPr>
          <w:rFonts w:ascii="Times New Roman" w:hAnsi="Times New Roman" w:cs="Times New Roman"/>
          <w:sz w:val="24"/>
          <w:szCs w:val="24"/>
          <w:lang w:val="en-GB"/>
        </w:rPr>
        <w:t>bAVM</w:t>
      </w:r>
      <w:proofErr w:type="spellEnd"/>
      <w:r w:rsidRPr="00ED5E81">
        <w:rPr>
          <w:rFonts w:ascii="Times New Roman" w:hAnsi="Times New Roman" w:cs="Times New Roman"/>
          <w:sz w:val="24"/>
          <w:szCs w:val="24"/>
          <w:lang w:val="en-GB"/>
        </w:rPr>
        <w:t xml:space="preserve"> resection (24h after ligation). The protocol included sequences for anatomical, parenchymal, flow and BBB assessment, as detailed in Supplementary data.</w:t>
      </w:r>
    </w:p>
    <w:p w14:paraId="7A207EDE" w14:textId="77777777" w:rsidR="003667EC" w:rsidRPr="00426176" w:rsidRDefault="003667EC" w:rsidP="003667EC">
      <w:pPr>
        <w:spacing w:line="360" w:lineRule="auto"/>
        <w:jc w:val="both"/>
        <w:rPr>
          <w:rFonts w:ascii="Times New Roman" w:hAnsi="Times New Roman" w:cs="Times New Roman"/>
          <w:sz w:val="24"/>
          <w:szCs w:val="24"/>
          <w:lang w:val="en-US"/>
        </w:rPr>
      </w:pPr>
      <w:r w:rsidRPr="00426176">
        <w:rPr>
          <w:rFonts w:ascii="Times New Roman" w:hAnsi="Times New Roman" w:cs="Times New Roman"/>
          <w:sz w:val="24"/>
          <w:szCs w:val="24"/>
          <w:lang w:val="en-US"/>
        </w:rPr>
        <w:t xml:space="preserve">7 Tesla MRI was performed under sedation (1-1.5% isoflurane) </w:t>
      </w:r>
      <w:r>
        <w:rPr>
          <w:rFonts w:ascii="Times New Roman" w:hAnsi="Times New Roman" w:cs="Times New Roman"/>
          <w:sz w:val="24"/>
          <w:szCs w:val="24"/>
          <w:lang w:val="en-US"/>
        </w:rPr>
        <w:t>at day</w:t>
      </w:r>
      <w:r w:rsidRPr="00426176">
        <w:rPr>
          <w:rFonts w:ascii="Times New Roman" w:hAnsi="Times New Roman" w:cs="Times New Roman"/>
          <w:sz w:val="24"/>
          <w:szCs w:val="24"/>
          <w:lang w:val="en-US"/>
        </w:rPr>
        <w:t xml:space="preserve"> 1, 7 </w:t>
      </w:r>
      <w:r>
        <w:rPr>
          <w:rFonts w:ascii="Times New Roman" w:hAnsi="Times New Roman" w:cs="Times New Roman"/>
          <w:sz w:val="24"/>
          <w:szCs w:val="24"/>
          <w:lang w:val="en-US"/>
        </w:rPr>
        <w:t>and 21</w:t>
      </w:r>
      <w:r w:rsidRPr="0042617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after </w:t>
      </w:r>
      <w:r w:rsidRPr="00426176">
        <w:rPr>
          <w:rFonts w:ascii="Times New Roman" w:hAnsi="Times New Roman" w:cs="Times New Roman"/>
          <w:sz w:val="24"/>
          <w:szCs w:val="24"/>
          <w:lang w:val="en-US"/>
        </w:rPr>
        <w:t xml:space="preserve">CJF creation, and 24 hours after ligation. </w:t>
      </w:r>
      <w:r>
        <w:rPr>
          <w:rFonts w:ascii="Times New Roman" w:hAnsi="Times New Roman" w:cs="Times New Roman"/>
          <w:sz w:val="24"/>
          <w:szCs w:val="24"/>
          <w:lang w:val="en-US"/>
        </w:rPr>
        <w:t>The protocol included</w:t>
      </w:r>
      <w:r w:rsidRPr="00426176">
        <w:rPr>
          <w:rFonts w:ascii="Times New Roman" w:hAnsi="Times New Roman" w:cs="Times New Roman"/>
          <w:sz w:val="24"/>
          <w:szCs w:val="24"/>
          <w:lang w:val="en-US"/>
        </w:rPr>
        <w:t xml:space="preserve"> T1-weighted, T2</w:t>
      </w:r>
      <w:r>
        <w:rPr>
          <w:rFonts w:ascii="Times New Roman" w:hAnsi="Times New Roman" w:cs="Times New Roman"/>
          <w:sz w:val="24"/>
          <w:szCs w:val="24"/>
          <w:lang w:val="en-US"/>
        </w:rPr>
        <w:t>-</w:t>
      </w:r>
      <w:r w:rsidRPr="00426176">
        <w:rPr>
          <w:rFonts w:ascii="Times New Roman" w:hAnsi="Times New Roman" w:cs="Times New Roman"/>
          <w:sz w:val="24"/>
          <w:szCs w:val="24"/>
          <w:lang w:val="en-US"/>
        </w:rPr>
        <w:t xml:space="preserve">weighted, Diffusion-weighted (DWI, b=0,1000 s/mm2, TE1-TE2/TR 52-87/5600 </w:t>
      </w:r>
      <w:proofErr w:type="spellStart"/>
      <w:r w:rsidRPr="00426176">
        <w:rPr>
          <w:rFonts w:ascii="Times New Roman" w:hAnsi="Times New Roman" w:cs="Times New Roman"/>
          <w:sz w:val="24"/>
          <w:szCs w:val="24"/>
          <w:lang w:val="en-US"/>
        </w:rPr>
        <w:t>ms</w:t>
      </w:r>
      <w:proofErr w:type="spellEnd"/>
      <w:r w:rsidRPr="00426176">
        <w:rPr>
          <w:rFonts w:ascii="Times New Roman" w:hAnsi="Times New Roman" w:cs="Times New Roman"/>
          <w:sz w:val="24"/>
          <w:szCs w:val="24"/>
          <w:lang w:val="en-US"/>
        </w:rPr>
        <w:t xml:space="preserve">, FA 180º, FOV 220x220mm, matrix 160x160, 40 slices, thickness 3mm) and Time of Flight (TOF, TE/TR 3.50/21 </w:t>
      </w:r>
      <w:proofErr w:type="spellStart"/>
      <w:r w:rsidRPr="00426176">
        <w:rPr>
          <w:rFonts w:ascii="Times New Roman" w:hAnsi="Times New Roman" w:cs="Times New Roman"/>
          <w:sz w:val="24"/>
          <w:szCs w:val="24"/>
          <w:lang w:val="en-US"/>
        </w:rPr>
        <w:t>ms</w:t>
      </w:r>
      <w:proofErr w:type="spellEnd"/>
      <w:r w:rsidRPr="00426176">
        <w:rPr>
          <w:rFonts w:ascii="Times New Roman" w:hAnsi="Times New Roman" w:cs="Times New Roman"/>
          <w:sz w:val="24"/>
          <w:szCs w:val="24"/>
          <w:lang w:val="en-US"/>
        </w:rPr>
        <w:t>, FA 18º, FOV 200x200mm, matrix 384x384, 36 slices, thickness 0.52mm). The examination included both the head and the neck of the rat.</w:t>
      </w:r>
    </w:p>
    <w:p w14:paraId="4CD3517D" w14:textId="77777777" w:rsidR="003667EC" w:rsidRPr="00ED5E81" w:rsidRDefault="003667EC" w:rsidP="003667EC">
      <w:pPr>
        <w:spacing w:line="360" w:lineRule="auto"/>
        <w:jc w:val="both"/>
        <w:rPr>
          <w:rFonts w:ascii="Times New Roman" w:hAnsi="Times New Roman" w:cs="Times New Roman"/>
          <w:sz w:val="24"/>
          <w:szCs w:val="24"/>
          <w:lang w:val="en-GB"/>
        </w:rPr>
      </w:pPr>
      <w:r w:rsidRPr="272D02E9">
        <w:rPr>
          <w:rFonts w:ascii="Times New Roman" w:hAnsi="Times New Roman" w:cs="Times New Roman"/>
          <w:sz w:val="24"/>
          <w:szCs w:val="24"/>
          <w:lang w:val="en-US"/>
        </w:rPr>
        <w:t xml:space="preserve">Maximum diameter of superior sagittal sinus (SSS) was measured with </w:t>
      </w:r>
      <w:proofErr w:type="spellStart"/>
      <w:r w:rsidRPr="272D02E9">
        <w:rPr>
          <w:rFonts w:ascii="Times New Roman" w:hAnsi="Times New Roman" w:cs="Times New Roman"/>
          <w:sz w:val="24"/>
          <w:szCs w:val="24"/>
          <w:lang w:val="en-US"/>
        </w:rPr>
        <w:t>ITKSnap</w:t>
      </w:r>
      <w:proofErr w:type="spellEnd"/>
      <w:r w:rsidRPr="272D02E9">
        <w:rPr>
          <w:rFonts w:ascii="Times New Roman" w:hAnsi="Times New Roman" w:cs="Times New Roman"/>
          <w:sz w:val="24"/>
          <w:szCs w:val="24"/>
          <w:lang w:val="en-US"/>
        </w:rPr>
        <w:t xml:space="preserve"> v.3.8 software (</w:t>
      </w:r>
      <w:proofErr w:type="spellStart"/>
      <w:r w:rsidRPr="272D02E9">
        <w:rPr>
          <w:rFonts w:ascii="Times New Roman" w:hAnsi="Times New Roman" w:cs="Times New Roman"/>
          <w:sz w:val="24"/>
          <w:szCs w:val="24"/>
          <w:lang w:val="en-US"/>
        </w:rPr>
        <w:t>Cognitica</w:t>
      </w:r>
      <w:proofErr w:type="spellEnd"/>
      <w:r w:rsidRPr="272D02E9">
        <w:rPr>
          <w:rFonts w:ascii="Times New Roman" w:hAnsi="Times New Roman" w:cs="Times New Roman"/>
          <w:sz w:val="24"/>
          <w:szCs w:val="24"/>
          <w:lang w:val="en-US"/>
        </w:rPr>
        <w:t xml:space="preserve">, Philadelphia, USA). TOF-MRI sequences were reconstructed into 3D vessel-maps with ImageJ to facilitate the visualization of vascular flow. </w:t>
      </w:r>
    </w:p>
    <w:p w14:paraId="02EB378F" w14:textId="77777777" w:rsidR="003667EC" w:rsidRPr="00ED5E81" w:rsidRDefault="003667EC" w:rsidP="003667EC">
      <w:pPr>
        <w:spacing w:line="360" w:lineRule="auto"/>
        <w:jc w:val="both"/>
        <w:rPr>
          <w:rFonts w:ascii="Times New Roman" w:hAnsi="Times New Roman" w:cs="Times New Roman"/>
          <w:sz w:val="24"/>
          <w:szCs w:val="24"/>
          <w:lang w:val="en-GB"/>
        </w:rPr>
      </w:pPr>
    </w:p>
    <w:p w14:paraId="76CC2A84" w14:textId="77777777" w:rsidR="003667EC" w:rsidRPr="00426176" w:rsidRDefault="003667EC" w:rsidP="003667EC">
      <w:pPr>
        <w:spacing w:line="360" w:lineRule="auto"/>
        <w:jc w:val="both"/>
        <w:rPr>
          <w:rFonts w:ascii="Times New Roman" w:hAnsi="Times New Roman" w:cs="Times New Roman"/>
          <w:b/>
          <w:bCs/>
          <w:sz w:val="24"/>
          <w:szCs w:val="24"/>
          <w:lang w:val="en-US"/>
        </w:rPr>
      </w:pPr>
      <w:r w:rsidRPr="003667EC">
        <w:rPr>
          <w:rFonts w:ascii="Times New Roman" w:hAnsi="Times New Roman" w:cs="Times New Roman"/>
          <w:b/>
          <w:bCs/>
          <w:sz w:val="24"/>
          <w:szCs w:val="24"/>
          <w:lang w:val="en-US"/>
        </w:rPr>
        <w:t>DCE-MRI evaluation of BBB permeability</w:t>
      </w:r>
    </w:p>
    <w:p w14:paraId="44269CB1" w14:textId="6498548A" w:rsidR="003667EC" w:rsidRPr="00426176" w:rsidRDefault="6EB1780D" w:rsidP="003667EC">
      <w:pPr>
        <w:spacing w:line="360" w:lineRule="auto"/>
        <w:jc w:val="both"/>
        <w:rPr>
          <w:rFonts w:ascii="Times New Roman" w:hAnsi="Times New Roman" w:cs="Times New Roman"/>
          <w:sz w:val="24"/>
          <w:szCs w:val="24"/>
          <w:lang w:val="en-US"/>
        </w:rPr>
      </w:pPr>
      <w:r w:rsidRPr="30220C04">
        <w:rPr>
          <w:rFonts w:ascii="Times New Roman" w:hAnsi="Times New Roman" w:cs="Times New Roman"/>
          <w:sz w:val="24"/>
          <w:szCs w:val="24"/>
          <w:lang w:val="en-US"/>
        </w:rPr>
        <w:t>The integrity of the BBB was investigated by DCE-MRI at the same time-points (</w:t>
      </w:r>
      <w:r w:rsidRPr="00281C47">
        <w:rPr>
          <w:rFonts w:ascii="Times New Roman" w:hAnsi="Times New Roman" w:cs="Times New Roman"/>
          <w:b/>
          <w:sz w:val="24"/>
          <w:szCs w:val="24"/>
          <w:lang w:val="en-US"/>
        </w:rPr>
        <w:t>Supplementary Figure S1A</w:t>
      </w:r>
      <w:r w:rsidRPr="30220C04">
        <w:rPr>
          <w:rFonts w:ascii="Times New Roman" w:hAnsi="Times New Roman" w:cs="Times New Roman"/>
          <w:sz w:val="24"/>
          <w:szCs w:val="24"/>
          <w:lang w:val="en-US"/>
        </w:rPr>
        <w:t xml:space="preserve">). The DCE-MRI </w:t>
      </w:r>
      <w:r w:rsidR="00525DC6" w:rsidRPr="30220C04">
        <w:rPr>
          <w:rFonts w:ascii="Times New Roman" w:hAnsi="Times New Roman" w:cs="Times New Roman"/>
          <w:sz w:val="24"/>
          <w:szCs w:val="24"/>
          <w:lang w:val="en-US"/>
        </w:rPr>
        <w:t>acquisition (</w:t>
      </w:r>
      <w:r w:rsidRPr="30220C04">
        <w:rPr>
          <w:rFonts w:ascii="Times New Roman" w:hAnsi="Times New Roman" w:cs="Times New Roman"/>
          <w:sz w:val="24"/>
          <w:szCs w:val="24"/>
          <w:lang w:val="en-US"/>
        </w:rPr>
        <w:t xml:space="preserve">TE/TR 1.73/4.87 </w:t>
      </w:r>
      <w:proofErr w:type="spellStart"/>
      <w:r w:rsidRPr="30220C04">
        <w:rPr>
          <w:rFonts w:ascii="Times New Roman" w:hAnsi="Times New Roman" w:cs="Times New Roman"/>
          <w:sz w:val="24"/>
          <w:szCs w:val="24"/>
          <w:lang w:val="en-US"/>
        </w:rPr>
        <w:t>ms</w:t>
      </w:r>
      <w:proofErr w:type="spellEnd"/>
      <w:r w:rsidRPr="30220C04">
        <w:rPr>
          <w:rFonts w:ascii="Times New Roman" w:hAnsi="Times New Roman" w:cs="Times New Roman"/>
          <w:sz w:val="24"/>
          <w:szCs w:val="24"/>
          <w:lang w:val="en-US"/>
        </w:rPr>
        <w:t>, FOV 240x180, matrix 192x144, 44 slices, thickness 3 mm, 60 volumes, total acquisition time 5min24s) included a variable flip angle T1 mapping sequence (with same parameters and resolution as DCE-MRI and 8 different FA:1,3,5,7,9,11,13 and 15º). Five volumes of the DCE-MRI were acquired before the injection of Gadolinium</w:t>
      </w:r>
      <w:r w:rsidR="003667EC" w:rsidRPr="30220C04">
        <w:rPr>
          <w:rFonts w:ascii="Times New Roman" w:hAnsi="Times New Roman" w:cs="Times New Roman"/>
          <w:sz w:val="24"/>
          <w:szCs w:val="24"/>
          <w:lang w:val="en-US"/>
        </w:rPr>
        <w:t xml:space="preserve"> (</w:t>
      </w:r>
      <w:proofErr w:type="spellStart"/>
      <w:r w:rsidR="003667EC" w:rsidRPr="30220C04">
        <w:rPr>
          <w:rFonts w:ascii="Times New Roman" w:hAnsi="Times New Roman" w:cs="Times New Roman"/>
          <w:sz w:val="24"/>
          <w:szCs w:val="24"/>
          <w:lang w:val="en-US"/>
        </w:rPr>
        <w:t>MultiHance</w:t>
      </w:r>
      <w:proofErr w:type="spellEnd"/>
      <w:r w:rsidR="003667EC" w:rsidRPr="30220C04">
        <w:rPr>
          <w:rFonts w:ascii="Times New Roman" w:hAnsi="Times New Roman" w:cs="Times New Roman"/>
          <w:sz w:val="24"/>
          <w:szCs w:val="24"/>
          <w:vertAlign w:val="superscript"/>
          <w:lang w:val="en-US"/>
        </w:rPr>
        <w:t>®</w:t>
      </w:r>
      <w:r w:rsidR="003667EC" w:rsidRPr="30220C04">
        <w:rPr>
          <w:rFonts w:ascii="Times New Roman" w:hAnsi="Times New Roman" w:cs="Times New Roman"/>
          <w:sz w:val="24"/>
          <w:szCs w:val="24"/>
          <w:lang w:val="en-US"/>
        </w:rPr>
        <w:t>, Bracco, Italy, #0270-5164-14) at a dose of 1.5 mL/kg.</w:t>
      </w:r>
    </w:p>
    <w:p w14:paraId="639C5DA3" w14:textId="77777777" w:rsidR="003667EC" w:rsidRPr="00426176" w:rsidRDefault="003667EC" w:rsidP="003667EC">
      <w:pPr>
        <w:spacing w:line="360" w:lineRule="auto"/>
        <w:jc w:val="both"/>
        <w:rPr>
          <w:rFonts w:ascii="Times New Roman" w:hAnsi="Times New Roman" w:cs="Times New Roman"/>
          <w:sz w:val="24"/>
          <w:szCs w:val="24"/>
          <w:lang w:val="en-US"/>
        </w:rPr>
      </w:pPr>
      <w:r w:rsidRPr="00426176">
        <w:rPr>
          <w:rFonts w:ascii="Times New Roman" w:hAnsi="Times New Roman" w:cs="Times New Roman"/>
          <w:sz w:val="24"/>
          <w:szCs w:val="24"/>
          <w:lang w:val="en-US"/>
        </w:rPr>
        <w:lastRenderedPageBreak/>
        <w:t>Vascular input function was semiautomatically selected in the superior sagittal sinus and T1 mapping parametric fitting and DCE-MRI data were processed with ROCKETSHIP software</w:t>
      </w:r>
      <w:r w:rsidR="007138B4" w:rsidRPr="00426176">
        <w:rPr>
          <w:rFonts w:ascii="Times New Roman" w:hAnsi="Times New Roman" w:cs="Times New Roman"/>
          <w:sz w:val="24"/>
          <w:szCs w:val="24"/>
          <w:lang w:val="en-US"/>
        </w:rPr>
        <w:fldChar w:fldCharType="begin" w:fldLock="1"/>
      </w:r>
      <w:r w:rsidRPr="00426176">
        <w:rPr>
          <w:rFonts w:ascii="Times New Roman" w:hAnsi="Times New Roman" w:cs="Times New Roman"/>
          <w:sz w:val="24"/>
          <w:szCs w:val="24"/>
          <w:lang w:val="en-US"/>
        </w:rPr>
        <w:instrText>ADDIN CSL_CITATION {"citationItems":[{"id":"ITEM-1","itemData":{"DOI":"10.1186/S12880-015-0062-3","ISBN":"1288001500623","ISSN":"14712342","PMID":"26076957","abstract":"Background: Dynamic contrast-enhanced magnetic resonance imaging (DCE-MRI) is a promising technique to characterize pathology and evaluate treatment response. However, analysis of DCE-MRI data is complex and benefits from concurrent analysis of multiple kinetic models and parameters. Few software tools are currently available that specifically focuses on DCE-MRI analysis with multiple kinetic models. Here, we developed ROCKETSHIP, an open-source, flexible and modular software for DCE-MRI analysis. ROCKETSHIP incorporates analyses with multiple kinetic models, including data-driven nested model analysis. Results: ROCKETSHIP was implemented using the MATLAB programming language. Robustness of the software to provide reliable fits using multiple kinetic models is demonstrated using simulated data. Simulations also demonstrate the utility of the data-driven nested model analysis. Applicability of ROCKETSHIP for both preclinical and clinical studies is shown using DCE-MRI studies of the human brain and a murine tumor model. Conclusion: A DCE-MRI software suite was implemented and tested using simulations. Its applicability to both preclinical and clinical datasets is shown. ROCKETSHIP was designed to be easily accessible for the beginner, but flexible enough for changes or additions to be made by the advanced user as well. The availability of a flexible analysis tool will aid future studies using DCE-MRI.","author":[{"dropping-particle":"","family":"Barnes","given":"Samuel R.","non-dropping-particle":"","parse-names":false,"suffix":""},{"dropping-particle":"","family":"Ng","given":"Thomas S.C.","non-dropping-particle":"","parse-names":false,"suffix":""},{"dropping-particle":"","family":"Santa-Maria","given":"Naomi","non-dropping-particle":"","parse-names":false,"suffix":""},{"dropping-particle":"","family":"Montagne","given":"Axel","non-dropping-particle":"","parse-names":false,"suffix":""},{"dropping-particle":"V.","family":"Zlokovic","given":"Berislav","non-dropping-particle":"","parse-names":false,"suffix":""},{"dropping-particle":"","family":"Jacobs","given":"Russell E.","non-dropping-particle":"","parse-names":false,"suffix":""}],"container-title":"BMC Medical Imaging","id":"ITEM-1","issue":"1","issued":{"date-parts":[["2015","6","16"]]},"page":"19","publisher":"BioMed Central Ltd.","title":"ROCKETSHIP: a flexible and modular software tool for the planning, processing and analysis of dynamic MRI studies","type":"article-journal","volume":"15"},"uris":["http://www.mendeley.com/documents/?uuid=53e07f2d-249f-392c-be1b-a4e5f90cd834"]}],"mendeley":{"formattedCitation":"&lt;sup&gt;20&lt;/sup&gt;","plainTextFormattedCitation":"20","previouslyFormattedCitation":"&lt;sup&gt;20&lt;/sup&gt;"},"properties":{"noteIndex":0},"schema":"https://github.com/citation-style-language/schema/raw/master/csl-citation.json"}</w:instrText>
      </w:r>
      <w:r w:rsidR="007138B4" w:rsidRPr="00426176">
        <w:rPr>
          <w:rFonts w:ascii="Times New Roman" w:hAnsi="Times New Roman" w:cs="Times New Roman"/>
          <w:sz w:val="24"/>
          <w:szCs w:val="24"/>
          <w:lang w:val="en-US"/>
        </w:rPr>
        <w:fldChar w:fldCharType="separate"/>
      </w:r>
      <w:r w:rsidRPr="00426176">
        <w:rPr>
          <w:rFonts w:ascii="Times New Roman" w:hAnsi="Times New Roman" w:cs="Times New Roman"/>
          <w:noProof/>
          <w:sz w:val="24"/>
          <w:szCs w:val="24"/>
          <w:vertAlign w:val="superscript"/>
          <w:lang w:val="en-US"/>
        </w:rPr>
        <w:t>20</w:t>
      </w:r>
      <w:r w:rsidR="007138B4" w:rsidRPr="00426176">
        <w:rPr>
          <w:rFonts w:ascii="Times New Roman" w:hAnsi="Times New Roman" w:cs="Times New Roman"/>
          <w:sz w:val="24"/>
          <w:szCs w:val="24"/>
          <w:lang w:val="en-US"/>
        </w:rPr>
        <w:fldChar w:fldCharType="end"/>
      </w:r>
      <w:r w:rsidRPr="00426176">
        <w:rPr>
          <w:rFonts w:ascii="Times New Roman" w:hAnsi="Times New Roman" w:cs="Times New Roman"/>
          <w:sz w:val="24"/>
          <w:szCs w:val="24"/>
          <w:lang w:val="en-US"/>
        </w:rPr>
        <w:t>. Extended TOFs pharmacokinetic model was used to obtain BBB permeability maps (</w:t>
      </w:r>
      <w:proofErr w:type="spellStart"/>
      <w:r w:rsidRPr="00426176">
        <w:rPr>
          <w:rFonts w:ascii="Times New Roman" w:hAnsi="Times New Roman" w:cs="Times New Roman"/>
          <w:sz w:val="24"/>
          <w:szCs w:val="24"/>
          <w:lang w:val="en-US"/>
        </w:rPr>
        <w:t>Ktrans</w:t>
      </w:r>
      <w:proofErr w:type="spellEnd"/>
      <w:r w:rsidRPr="00426176">
        <w:rPr>
          <w:rFonts w:ascii="Times New Roman" w:hAnsi="Times New Roman" w:cs="Times New Roman"/>
          <w:sz w:val="24"/>
          <w:szCs w:val="24"/>
          <w:lang w:val="en-US"/>
        </w:rPr>
        <w:t>, mL/100g/min units).</w:t>
      </w:r>
    </w:p>
    <w:p w14:paraId="6A05A809" w14:textId="77777777" w:rsidR="000E6422" w:rsidRPr="004A5E7A" w:rsidRDefault="000E6422" w:rsidP="000E6422">
      <w:pPr>
        <w:spacing w:line="360" w:lineRule="auto"/>
        <w:jc w:val="both"/>
        <w:rPr>
          <w:rFonts w:ascii="Times New Roman" w:hAnsi="Times New Roman" w:cs="Times New Roman"/>
          <w:sz w:val="24"/>
          <w:szCs w:val="24"/>
          <w:lang w:val="en-GB"/>
        </w:rPr>
      </w:pPr>
    </w:p>
    <w:sectPr w:rsidR="000E6422" w:rsidRPr="004A5E7A" w:rsidSect="0023552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F400D"/>
    <w:rsid w:val="000A0C57"/>
    <w:rsid w:val="000E6422"/>
    <w:rsid w:val="0023552E"/>
    <w:rsid w:val="00281C47"/>
    <w:rsid w:val="002959FE"/>
    <w:rsid w:val="002F07E7"/>
    <w:rsid w:val="003667EC"/>
    <w:rsid w:val="00397965"/>
    <w:rsid w:val="00466DB4"/>
    <w:rsid w:val="004A5E7A"/>
    <w:rsid w:val="004F400D"/>
    <w:rsid w:val="00525DC6"/>
    <w:rsid w:val="006E6DE6"/>
    <w:rsid w:val="007138B4"/>
    <w:rsid w:val="00A05EEF"/>
    <w:rsid w:val="00A7158E"/>
    <w:rsid w:val="00BC2149"/>
    <w:rsid w:val="00D07AC3"/>
    <w:rsid w:val="00D12FB8"/>
    <w:rsid w:val="00D47FC3"/>
    <w:rsid w:val="00ED5E81"/>
    <w:rsid w:val="066BB80F"/>
    <w:rsid w:val="0D4EA59C"/>
    <w:rsid w:val="211E73E9"/>
    <w:rsid w:val="272D02E9"/>
    <w:rsid w:val="30220C04"/>
    <w:rsid w:val="6055D448"/>
    <w:rsid w:val="6430BE39"/>
    <w:rsid w:val="6EB1780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EC700"/>
  <w15:docId w15:val="{FEC09E0B-0175-4D93-94B3-2AB23890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52E"/>
  </w:style>
  <w:style w:type="paragraph" w:styleId="Heading1">
    <w:name w:val="heading 1"/>
    <w:basedOn w:val="Normal"/>
    <w:next w:val="Normal"/>
    <w:link w:val="Heading1Char"/>
    <w:uiPriority w:val="9"/>
    <w:qFormat/>
    <w:rsid w:val="004F40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40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40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40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40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40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40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40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40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40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40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40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40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40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40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40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40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400D"/>
    <w:rPr>
      <w:rFonts w:eastAsiaTheme="majorEastAsia" w:cstheme="majorBidi"/>
      <w:color w:val="272727" w:themeColor="text1" w:themeTint="D8"/>
    </w:rPr>
  </w:style>
  <w:style w:type="paragraph" w:styleId="Title">
    <w:name w:val="Title"/>
    <w:basedOn w:val="Normal"/>
    <w:next w:val="Normal"/>
    <w:link w:val="TitleChar"/>
    <w:uiPriority w:val="10"/>
    <w:qFormat/>
    <w:rsid w:val="004F40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40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40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40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400D"/>
    <w:pPr>
      <w:spacing w:before="160"/>
      <w:jc w:val="center"/>
    </w:pPr>
    <w:rPr>
      <w:i/>
      <w:iCs/>
      <w:color w:val="404040" w:themeColor="text1" w:themeTint="BF"/>
    </w:rPr>
  </w:style>
  <w:style w:type="character" w:customStyle="1" w:styleId="QuoteChar">
    <w:name w:val="Quote Char"/>
    <w:basedOn w:val="DefaultParagraphFont"/>
    <w:link w:val="Quote"/>
    <w:uiPriority w:val="29"/>
    <w:rsid w:val="004F400D"/>
    <w:rPr>
      <w:i/>
      <w:iCs/>
      <w:color w:val="404040" w:themeColor="text1" w:themeTint="BF"/>
    </w:rPr>
  </w:style>
  <w:style w:type="paragraph" w:styleId="ListParagraph">
    <w:name w:val="List Paragraph"/>
    <w:basedOn w:val="Normal"/>
    <w:uiPriority w:val="34"/>
    <w:qFormat/>
    <w:rsid w:val="004F400D"/>
    <w:pPr>
      <w:ind w:left="720"/>
      <w:contextualSpacing/>
    </w:pPr>
  </w:style>
  <w:style w:type="character" w:styleId="IntenseEmphasis">
    <w:name w:val="Intense Emphasis"/>
    <w:basedOn w:val="DefaultParagraphFont"/>
    <w:uiPriority w:val="21"/>
    <w:qFormat/>
    <w:rsid w:val="004F400D"/>
    <w:rPr>
      <w:i/>
      <w:iCs/>
      <w:color w:val="0F4761" w:themeColor="accent1" w:themeShade="BF"/>
    </w:rPr>
  </w:style>
  <w:style w:type="paragraph" w:styleId="IntenseQuote">
    <w:name w:val="Intense Quote"/>
    <w:basedOn w:val="Normal"/>
    <w:next w:val="Normal"/>
    <w:link w:val="IntenseQuoteChar"/>
    <w:uiPriority w:val="30"/>
    <w:qFormat/>
    <w:rsid w:val="004F40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400D"/>
    <w:rPr>
      <w:i/>
      <w:iCs/>
      <w:color w:val="0F4761" w:themeColor="accent1" w:themeShade="BF"/>
    </w:rPr>
  </w:style>
  <w:style w:type="character" w:styleId="IntenseReference">
    <w:name w:val="Intense Reference"/>
    <w:basedOn w:val="DefaultParagraphFont"/>
    <w:uiPriority w:val="32"/>
    <w:qFormat/>
    <w:rsid w:val="004F40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1461</Words>
  <Characters>8332</Characters>
  <Application>Microsoft Office Word</Application>
  <DocSecurity>0</DocSecurity>
  <Lines>69</Lines>
  <Paragraphs>19</Paragraphs>
  <ScaleCrop>false</ScaleCrop>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MOSTEIRO CADAVAL, ALEJANDRA (ICN)</dc:creator>
  <cp:keywords/>
  <dc:description/>
  <cp:lastModifiedBy>PEDROSA, LEIRE (IDIBAPS)</cp:lastModifiedBy>
  <cp:revision>15</cp:revision>
  <dcterms:created xsi:type="dcterms:W3CDTF">2024-11-06T16:04:00Z</dcterms:created>
  <dcterms:modified xsi:type="dcterms:W3CDTF">2025-05-21T13:17:00Z</dcterms:modified>
</cp:coreProperties>
</file>